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58FB" w:rsidRDefault="002058FB">
      <w:pPr>
        <w:pStyle w:val="2"/>
        <w:jc w:val="center"/>
        <w:rPr>
          <w:sz w:val="32"/>
          <w:szCs w:val="32"/>
        </w:rPr>
      </w:pPr>
      <w:r>
        <w:rPr>
          <w:bCs w:val="0"/>
          <w:color w:val="0000FF"/>
          <w:sz w:val="32"/>
          <w:szCs w:val="32"/>
        </w:rPr>
        <w:t>Прокуратура Малмыжского района</w:t>
      </w:r>
      <w:r>
        <w:rPr>
          <w:bCs w:val="0"/>
          <w:color w:val="0000FF"/>
          <w:sz w:val="32"/>
          <w:szCs w:val="32"/>
        </w:rPr>
        <w:br/>
        <w:t>Кировской области</w:t>
      </w:r>
    </w:p>
    <w:p w:rsidR="002058FB" w:rsidRDefault="002058FB">
      <w:pPr>
        <w:pStyle w:val="2"/>
        <w:jc w:val="center"/>
        <w:rPr>
          <w:sz w:val="32"/>
          <w:szCs w:val="32"/>
        </w:rPr>
      </w:pPr>
    </w:p>
    <w:p w:rsidR="002058FB" w:rsidRDefault="002058FB">
      <w:pPr>
        <w:pStyle w:val="2"/>
        <w:jc w:val="center"/>
        <w:rPr>
          <w:sz w:val="32"/>
          <w:szCs w:val="32"/>
        </w:rPr>
      </w:pPr>
    </w:p>
    <w:p w:rsidR="002058FB" w:rsidRDefault="002058FB">
      <w:pPr>
        <w:pStyle w:val="2"/>
        <w:jc w:val="center"/>
        <w:rPr>
          <w:sz w:val="32"/>
          <w:szCs w:val="32"/>
        </w:rPr>
      </w:pPr>
    </w:p>
    <w:p w:rsidR="002058FB" w:rsidRDefault="002058FB">
      <w:pPr>
        <w:pStyle w:val="a1"/>
      </w:pPr>
    </w:p>
    <w:p w:rsidR="006F410D" w:rsidRDefault="006F410D">
      <w:pPr>
        <w:pStyle w:val="a1"/>
      </w:pPr>
    </w:p>
    <w:p w:rsidR="002058FB" w:rsidRDefault="002058FB">
      <w:pPr>
        <w:pStyle w:val="a1"/>
      </w:pPr>
    </w:p>
    <w:p w:rsidR="002058FB" w:rsidRDefault="002058FB">
      <w:pPr>
        <w:pStyle w:val="a1"/>
      </w:pPr>
    </w:p>
    <w:p w:rsidR="002058FB" w:rsidRDefault="002058FB">
      <w:pPr>
        <w:pStyle w:val="2"/>
        <w:jc w:val="center"/>
        <w:rPr>
          <w:sz w:val="32"/>
          <w:szCs w:val="32"/>
        </w:rPr>
      </w:pPr>
    </w:p>
    <w:p w:rsidR="002058FB" w:rsidRDefault="002058FB" w:rsidP="006F410D">
      <w:pPr>
        <w:pStyle w:val="2"/>
        <w:ind w:left="0" w:firstLine="0"/>
        <w:jc w:val="center"/>
        <w:rPr>
          <w:color w:val="008000"/>
          <w:sz w:val="64"/>
          <w:szCs w:val="64"/>
        </w:rPr>
      </w:pPr>
      <w:r>
        <w:rPr>
          <w:sz w:val="40"/>
          <w:szCs w:val="40"/>
        </w:rPr>
        <w:t>ПАМЯТКА ДЛЯ НАСЕЛЕНИЯ</w:t>
      </w:r>
    </w:p>
    <w:p w:rsidR="002058FB" w:rsidRPr="006F410D" w:rsidRDefault="002058FB" w:rsidP="006F410D">
      <w:pPr>
        <w:pStyle w:val="2"/>
        <w:ind w:left="0" w:firstLine="0"/>
        <w:jc w:val="center"/>
        <w:rPr>
          <w:rFonts w:cs="Times New Roman"/>
          <w:sz w:val="90"/>
          <w:szCs w:val="90"/>
        </w:rPr>
      </w:pPr>
      <w:r w:rsidRPr="006F410D">
        <w:rPr>
          <w:color w:val="008000"/>
          <w:sz w:val="90"/>
          <w:szCs w:val="90"/>
        </w:rPr>
        <w:t>«О трудовых правах несовершеннолетних»</w:t>
      </w:r>
    </w:p>
    <w:p w:rsidR="002058FB" w:rsidRDefault="002058FB" w:rsidP="006F410D">
      <w:pPr>
        <w:pStyle w:val="a1"/>
        <w:spacing w:after="0"/>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sz w:val="28"/>
          <w:szCs w:val="28"/>
        </w:rPr>
      </w:pPr>
    </w:p>
    <w:p w:rsidR="002058FB" w:rsidRDefault="002058FB">
      <w:pPr>
        <w:pStyle w:val="a1"/>
        <w:spacing w:after="0"/>
        <w:ind w:firstLine="709"/>
        <w:jc w:val="both"/>
        <w:rPr>
          <w:rFonts w:ascii="Times New Roman" w:hAnsi="Times New Roman" w:cs="Times New Roman"/>
          <w:b/>
          <w:bCs/>
          <w:color w:val="0000FF"/>
          <w:sz w:val="28"/>
          <w:szCs w:val="28"/>
        </w:rPr>
      </w:pPr>
    </w:p>
    <w:p w:rsidR="002058FB" w:rsidRDefault="002058FB">
      <w:pPr>
        <w:pStyle w:val="a1"/>
        <w:spacing w:after="0"/>
        <w:jc w:val="center"/>
        <w:rPr>
          <w:rFonts w:ascii="Times New Roman" w:hAnsi="Times New Roman" w:cs="Times New Roman"/>
          <w:b/>
          <w:bCs/>
          <w:color w:val="0000FF"/>
          <w:sz w:val="28"/>
          <w:szCs w:val="28"/>
        </w:rPr>
      </w:pPr>
    </w:p>
    <w:p w:rsidR="006F410D" w:rsidRDefault="006F410D">
      <w:pPr>
        <w:pStyle w:val="a1"/>
        <w:spacing w:after="0"/>
        <w:jc w:val="center"/>
        <w:rPr>
          <w:rFonts w:ascii="Times New Roman" w:hAnsi="Times New Roman" w:cs="Times New Roman"/>
          <w:b/>
          <w:bCs/>
          <w:color w:val="0000FF"/>
          <w:sz w:val="28"/>
          <w:szCs w:val="28"/>
        </w:rPr>
      </w:pPr>
    </w:p>
    <w:p w:rsidR="006F410D" w:rsidRDefault="006F410D" w:rsidP="006F410D">
      <w:pPr>
        <w:pStyle w:val="a1"/>
        <w:spacing w:after="0"/>
        <w:jc w:val="center"/>
        <w:rPr>
          <w:rFonts w:ascii="Times New Roman" w:hAnsi="Times New Roman" w:cs="Times New Roman"/>
          <w:b/>
          <w:bCs/>
          <w:color w:val="2B2B2B"/>
          <w:sz w:val="28"/>
          <w:szCs w:val="28"/>
        </w:rPr>
      </w:pPr>
    </w:p>
    <w:p w:rsidR="002058FB" w:rsidRDefault="002058FB" w:rsidP="006F410D">
      <w:pPr>
        <w:pStyle w:val="a1"/>
        <w:spacing w:after="0"/>
        <w:jc w:val="center"/>
        <w:rPr>
          <w:rFonts w:ascii="Times New Roman" w:hAnsi="Times New Roman"/>
          <w:sz w:val="28"/>
        </w:rPr>
      </w:pPr>
      <w:r>
        <w:rPr>
          <w:rFonts w:ascii="Times New Roman" w:hAnsi="Times New Roman" w:cs="Times New Roman"/>
          <w:b/>
          <w:bCs/>
          <w:color w:val="2B2B2B"/>
          <w:sz w:val="28"/>
          <w:szCs w:val="28"/>
        </w:rPr>
        <w:t>г. Малмыж, 201</w:t>
      </w:r>
      <w:r w:rsidR="006F410D">
        <w:rPr>
          <w:rFonts w:ascii="Times New Roman" w:hAnsi="Times New Roman" w:cs="Times New Roman"/>
          <w:b/>
          <w:bCs/>
          <w:color w:val="2B2B2B"/>
          <w:sz w:val="28"/>
          <w:szCs w:val="28"/>
        </w:rPr>
        <w:t>9</w:t>
      </w:r>
    </w:p>
    <w:p w:rsidR="006F410D" w:rsidRPr="006F410D" w:rsidRDefault="006F410D" w:rsidP="006F410D">
      <w:pPr>
        <w:pStyle w:val="2"/>
        <w:spacing w:before="0" w:after="0"/>
        <w:ind w:left="0" w:firstLine="0"/>
        <w:jc w:val="center"/>
        <w:rPr>
          <w:rFonts w:cs="Times New Roman"/>
          <w:color w:val="008000"/>
        </w:rPr>
      </w:pPr>
      <w:r w:rsidRPr="006F410D">
        <w:rPr>
          <w:rFonts w:cs="Times New Roman"/>
        </w:rPr>
        <w:lastRenderedPageBreak/>
        <w:t>ПАМЯТКА ДЛЯ НАСЕЛЕНИЯ</w:t>
      </w:r>
    </w:p>
    <w:p w:rsidR="006F410D" w:rsidRPr="006F410D" w:rsidRDefault="006F410D" w:rsidP="006F410D">
      <w:pPr>
        <w:pStyle w:val="a1"/>
        <w:spacing w:after="0"/>
        <w:jc w:val="center"/>
        <w:rPr>
          <w:rFonts w:ascii="Times New Roman" w:hAnsi="Times New Roman" w:cs="Times New Roman"/>
          <w:b/>
          <w:sz w:val="36"/>
          <w:szCs w:val="36"/>
        </w:rPr>
      </w:pPr>
      <w:r w:rsidRPr="006F410D">
        <w:rPr>
          <w:rFonts w:ascii="Times New Roman" w:hAnsi="Times New Roman" w:cs="Times New Roman"/>
          <w:b/>
          <w:color w:val="008000"/>
          <w:sz w:val="36"/>
          <w:szCs w:val="36"/>
        </w:rPr>
        <w:t>«О трудовых правах несовершеннолетних»</w:t>
      </w:r>
    </w:p>
    <w:p w:rsidR="006F410D" w:rsidRDefault="006F410D" w:rsidP="006F410D">
      <w:pPr>
        <w:pStyle w:val="a1"/>
        <w:spacing w:after="0"/>
        <w:ind w:firstLine="709"/>
        <w:jc w:val="both"/>
        <w:rPr>
          <w:rFonts w:ascii="Times New Roman" w:hAnsi="Times New Roman"/>
          <w:sz w:val="28"/>
        </w:rPr>
      </w:pP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Трудовой договор может быть заключен с 16 лет. Несовершеннолетние, получившие общее образование или получающие общее образование и достигшие возраста 15 лет, вправе заключать трудовой договор для выполнения легкого труда, не причиняющего вреда их здоровью. </w:t>
      </w:r>
    </w:p>
    <w:p w:rsidR="002058FB" w:rsidRDefault="002058FB" w:rsidP="006F410D">
      <w:pPr>
        <w:pStyle w:val="a1"/>
        <w:spacing w:after="0"/>
        <w:ind w:firstLine="709"/>
        <w:jc w:val="both"/>
        <w:rPr>
          <w:rFonts w:ascii="Times New Roman" w:hAnsi="Times New Roman"/>
          <w:sz w:val="28"/>
        </w:rPr>
      </w:pPr>
      <w:proofErr w:type="gramStart"/>
      <w:r>
        <w:rPr>
          <w:rFonts w:ascii="Times New Roman" w:hAnsi="Times New Roman"/>
          <w:sz w:val="28"/>
        </w:rPr>
        <w:t>Трудовой договор может быть заключен и с подростком, достигшим 14 лет, при соблюдении следующих условий: - подросток, достигший 14 лет, является учащимся; - предлагаемая подростку работа относится к категории легкого труда, не причиняющего вреда здоровью; - работа по трудовому договору должна выполняться лишь в свободное от получения образования время и без ущерба для освоения образовательной программы;</w:t>
      </w:r>
      <w:proofErr w:type="gramEnd"/>
      <w:r>
        <w:rPr>
          <w:rFonts w:ascii="Times New Roman" w:hAnsi="Times New Roman"/>
          <w:sz w:val="28"/>
        </w:rPr>
        <w:t xml:space="preserve"> - на заключение трудового договора должно быть получено письменное согласие одного из родителей (попечителя) и органа опеки и попечительства.</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Если другой родитель возражает против заключения трудового договора с лицом, не достигшим возраста пятнадцати лет, необходимо учитывать мнение самого несовершеннолетнего и органа опеки и попечительства.</w:t>
      </w:r>
    </w:p>
    <w:p w:rsidR="002058FB" w:rsidRDefault="002058FB" w:rsidP="006F410D">
      <w:pPr>
        <w:pStyle w:val="a1"/>
        <w:spacing w:after="0"/>
        <w:ind w:firstLine="709"/>
        <w:jc w:val="both"/>
        <w:rPr>
          <w:rFonts w:ascii="Times New Roman" w:hAnsi="Times New Roman"/>
          <w:sz w:val="28"/>
        </w:rPr>
      </w:pPr>
      <w:proofErr w:type="gramStart"/>
      <w:r>
        <w:rPr>
          <w:rFonts w:ascii="Times New Roman" w:hAnsi="Times New Roman"/>
          <w:sz w:val="28"/>
        </w:rPr>
        <w:t>Что касается заключения трудового договора с лицами в возрасте до 14 лет, то с согласия родителя (опекуна, попечителя) и разрешения органа опеки и попечительства трудовой договор может быть заключен с детьми указанного возраста только для участия их в создании и (или) исполнении произведений и только организациями кинематографии, театрами, театральными и концертными организациями и цирками.</w:t>
      </w:r>
      <w:proofErr w:type="gramEnd"/>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Необходимо знать, что лица в возрасте до 18 лет принимаются на работу только после предварительного обязательного медицинского осмотра для определения их пригодности по состоянию здоровья к поручаемой работе.</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Согласно части 4 статьи 70 Трудового кодекса РФ лицам, не достигшим 18 лет, не может быть установлено испытание при приеме на работу.</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Трудовым кодексом для лиц моложе 18 лет установлены сокращенная продолжительность рабочего времени и дополнительные требования к режимам их труда. Так, продолжительность рабочего времени для работников в возрасте до 16 лет не может превышать 24 часов в неделю, для работников в возрасте от 16 до 18 лет – 35 часов в неделю.</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Продолжительность рабочего времени учащихся образовательных учреждений в возрасте до 18 лет, работающих в течение учебного года в свободное от учебы время, не может превышать половины указанных норм (статья 92 ТК РФ).</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 xml:space="preserve">Для работников в возрасте от 15 до 16 лет продолжительность ежедневной работы (смены) не может превышать 5 часов, в возрасте от 16 до 18 лет - 7 часов; 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w:t>
      </w:r>
      <w:r>
        <w:rPr>
          <w:rFonts w:ascii="Times New Roman" w:hAnsi="Times New Roman"/>
          <w:sz w:val="28"/>
        </w:rPr>
        <w:lastRenderedPageBreak/>
        <w:t>от 14 до 16 лет - 2,5 часа, в возрасте от 16 до 18 лет - 4 часа (часть 1 статьи 94 ТК РФ).</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Одной из важнейших гарантий в области регулирования времени отдыха является законодательное закрепление права на ежегодные оплачиваемые отпуска (статья 114 ТК РФ), реализация которого несовершеннолетними работниками имеет свои особенности. По общему правилу продолжительность ежегодного основного оплачиваемого отпуска равна 28 календарным дням (статья 115 ТК РФ), а для работников моложе 18 лет продолжительность ежегодного основного оплачиваемого отпуска установлена в 31 календарный день в любое удобное для них время (статья 267 ТК РФ). Отпуск должен предоставляться ежегодно, т.е. его нельзя переносить на следующий год даже с согласия подростка (статья 124 ТК РФ).</w:t>
      </w:r>
    </w:p>
    <w:p w:rsidR="002058FB" w:rsidRDefault="002058FB" w:rsidP="006F410D">
      <w:pPr>
        <w:pStyle w:val="a1"/>
        <w:spacing w:after="0"/>
        <w:ind w:firstLine="709"/>
        <w:jc w:val="both"/>
        <w:rPr>
          <w:rFonts w:ascii="Times New Roman" w:hAnsi="Times New Roman"/>
          <w:sz w:val="28"/>
        </w:rPr>
      </w:pPr>
      <w:proofErr w:type="gramStart"/>
      <w:r>
        <w:rPr>
          <w:rFonts w:ascii="Times New Roman" w:hAnsi="Times New Roman"/>
          <w:sz w:val="28"/>
        </w:rPr>
        <w:t>Запрещается использование труда лиц, не достигших 18 лет на следующих работах: – работы с вредными и (или) опасными условиями труда, подземные работы; – работы, выполнение которых может причинить вред здоровью и нравственному развитию несовершеннолетних (игорный бизнес, работы в ночных кабаре и клубах, производство, перевозка и торговля спиртными напитками, табачными изделиями, наркотическими и иными токсическими препаратами);</w:t>
      </w:r>
      <w:proofErr w:type="gramEnd"/>
      <w:r>
        <w:rPr>
          <w:rFonts w:ascii="Times New Roman" w:hAnsi="Times New Roman"/>
          <w:sz w:val="28"/>
        </w:rPr>
        <w:t xml:space="preserve"> – переноска и передвижение тяжестей, превышающих установленные для них предельные нормы.</w:t>
      </w:r>
    </w:p>
    <w:p w:rsidR="002058FB" w:rsidRDefault="002058FB" w:rsidP="006F410D">
      <w:pPr>
        <w:pStyle w:val="a1"/>
        <w:spacing w:after="0"/>
        <w:ind w:firstLine="709"/>
        <w:jc w:val="both"/>
        <w:rPr>
          <w:rFonts w:ascii="Times New Roman" w:hAnsi="Times New Roman"/>
          <w:sz w:val="28"/>
        </w:rPr>
      </w:pPr>
      <w:r>
        <w:rPr>
          <w:rFonts w:ascii="Times New Roman" w:hAnsi="Times New Roman"/>
          <w:sz w:val="28"/>
        </w:rPr>
        <w:t>Расторжение трудового договора с работниками в возрасте до 18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 (статья 269 ТК РФ).</w:t>
      </w:r>
    </w:p>
    <w:p w:rsidR="00B043A4" w:rsidRDefault="00B043A4" w:rsidP="006F410D">
      <w:pPr>
        <w:pStyle w:val="a1"/>
        <w:spacing w:after="0"/>
        <w:ind w:firstLine="709"/>
        <w:jc w:val="both"/>
        <w:rPr>
          <w:rFonts w:ascii="Times New Roman" w:hAnsi="Times New Roman"/>
          <w:sz w:val="28"/>
        </w:rPr>
      </w:pPr>
    </w:p>
    <w:p w:rsidR="00B043A4" w:rsidRDefault="00B043A4" w:rsidP="00B043A4">
      <w:pPr>
        <w:pStyle w:val="a1"/>
        <w:spacing w:after="0"/>
        <w:ind w:firstLine="709"/>
        <w:jc w:val="right"/>
        <w:rPr>
          <w:rFonts w:ascii="Times New Roman" w:hAnsi="Times New Roman"/>
          <w:sz w:val="28"/>
        </w:rPr>
      </w:pPr>
    </w:p>
    <w:p w:rsidR="00B043A4" w:rsidRDefault="00B043A4" w:rsidP="00B043A4">
      <w:pPr>
        <w:pStyle w:val="a1"/>
        <w:spacing w:after="0"/>
        <w:ind w:firstLine="709"/>
        <w:jc w:val="right"/>
        <w:rPr>
          <w:rFonts w:ascii="Times New Roman" w:hAnsi="Times New Roman"/>
          <w:sz w:val="28"/>
        </w:rPr>
      </w:pPr>
      <w:r>
        <w:rPr>
          <w:rFonts w:ascii="Times New Roman" w:hAnsi="Times New Roman"/>
          <w:sz w:val="28"/>
        </w:rPr>
        <w:t>Прокуратура Малмыжского района</w:t>
      </w:r>
    </w:p>
    <w:p w:rsidR="00B043A4" w:rsidRDefault="00B043A4" w:rsidP="00B043A4">
      <w:pPr>
        <w:pStyle w:val="a1"/>
        <w:spacing w:after="0"/>
        <w:ind w:firstLine="709"/>
        <w:jc w:val="right"/>
        <w:rPr>
          <w:rFonts w:ascii="Times New Roman" w:hAnsi="Times New Roman"/>
          <w:sz w:val="28"/>
        </w:rPr>
      </w:pPr>
      <w:r>
        <w:rPr>
          <w:rFonts w:ascii="Times New Roman" w:hAnsi="Times New Roman"/>
          <w:sz w:val="28"/>
        </w:rPr>
        <w:t>Кировской области</w:t>
      </w:r>
    </w:p>
    <w:p w:rsidR="00B043A4" w:rsidRDefault="00B043A4" w:rsidP="00B043A4">
      <w:pPr>
        <w:pStyle w:val="a1"/>
        <w:spacing w:after="0"/>
        <w:ind w:firstLine="709"/>
        <w:jc w:val="right"/>
        <w:rPr>
          <w:rFonts w:ascii="Times New Roman" w:hAnsi="Times New Roman"/>
          <w:sz w:val="28"/>
        </w:rPr>
      </w:pPr>
    </w:p>
    <w:sectPr w:rsidR="00B043A4" w:rsidSect="006F410D">
      <w:pgSz w:w="11906" w:h="16838"/>
      <w:pgMar w:top="1157" w:right="522" w:bottom="1060" w:left="1729"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apple-system">
    <w:altName w:val="Times New Roman"/>
    <w:charset w:val="CC"/>
    <w:family w:val="auto"/>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6F410D"/>
    <w:rsid w:val="002058FB"/>
    <w:rsid w:val="006F410D"/>
    <w:rsid w:val="00B043A4"/>
    <w:rsid w:val="00BC28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textAlignment w:val="baseline"/>
    </w:pPr>
    <w:rPr>
      <w:rFonts w:ascii="Calibri" w:hAnsi="Calibri" w:cs="Calibri"/>
      <w:kern w:val="1"/>
      <w:sz w:val="24"/>
      <w:szCs w:val="24"/>
      <w:lang w:eastAsia="hi-IN" w:bidi="hi-IN"/>
    </w:rPr>
  </w:style>
  <w:style w:type="paragraph" w:styleId="1">
    <w:name w:val="heading 1"/>
    <w:basedOn w:val="a0"/>
    <w:next w:val="a1"/>
    <w:qFormat/>
    <w:pPr>
      <w:numPr>
        <w:numId w:val="1"/>
      </w:numPr>
      <w:outlineLvl w:val="0"/>
    </w:pPr>
    <w:rPr>
      <w:rFonts w:ascii="Times New Roman" w:eastAsia="SimSun" w:hAnsi="Times New Roman"/>
      <w:b/>
      <w:bCs/>
      <w:sz w:val="48"/>
      <w:szCs w:val="48"/>
    </w:rPr>
  </w:style>
  <w:style w:type="paragraph" w:styleId="2">
    <w:name w:val="heading 2"/>
    <w:basedOn w:val="a0"/>
    <w:next w:val="a1"/>
    <w:qFormat/>
    <w:pPr>
      <w:numPr>
        <w:ilvl w:val="1"/>
        <w:numId w:val="1"/>
      </w:numPr>
      <w:outlineLvl w:val="1"/>
    </w:pPr>
    <w:rPr>
      <w:rFonts w:ascii="Times New Roman" w:eastAsia="SimSun" w:hAnsi="Times New Roman"/>
      <w:b/>
      <w:bCs/>
      <w:sz w:val="36"/>
      <w:szCs w:val="36"/>
    </w:rPr>
  </w:style>
  <w:style w:type="paragraph" w:styleId="3">
    <w:name w:val="heading 3"/>
    <w:basedOn w:val="a0"/>
    <w:next w:val="a1"/>
    <w:qFormat/>
    <w:pPr>
      <w:numPr>
        <w:ilvl w:val="2"/>
        <w:numId w:val="1"/>
      </w:numPr>
      <w:outlineLvl w:val="2"/>
    </w:pPr>
    <w:rPr>
      <w:rFonts w:ascii="Times New Roman" w:eastAsia="SimSun" w:hAnsi="Times New Roman"/>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caps w:val="0"/>
      <w:smallCaps w:val="0"/>
      <w:color w:val="000000"/>
      <w:spacing w:val="0"/>
      <w:sz w:val="20"/>
    </w:rPr>
  </w:style>
  <w:style w:type="character" w:customStyle="1" w:styleId="WW8Num3z0">
    <w:name w:val="WW8Num3z0"/>
    <w:rPr>
      <w:rFonts w:ascii="Symbol" w:hAnsi="Symbol" w:cs="OpenSymbo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pple-system" w:hAnsi="apple-system" w:cs="apple-system"/>
      <w:caps w:val="0"/>
      <w:smallCaps w:val="0"/>
      <w:color w:val="000000"/>
      <w:spacing w:val="0"/>
      <w:sz w:val="20"/>
    </w:rPr>
  </w:style>
  <w:style w:type="character" w:customStyle="1" w:styleId="WW8Num6z0">
    <w:name w:val="WW8Num6z0"/>
  </w:style>
  <w:style w:type="character" w:customStyle="1" w:styleId="WW8Num6z1">
    <w:name w:val="WW8Num6z1"/>
    <w:rPr>
      <w:rFonts w:ascii="Symbol" w:hAnsi="Symbol" w:cs="OpenSymbol"/>
    </w:rPr>
  </w:style>
  <w:style w:type="character" w:customStyle="1" w:styleId="WW8Num7z0">
    <w:name w:val="WW8Num7z0"/>
  </w:style>
  <w:style w:type="character" w:customStyle="1" w:styleId="WW8Num7z1">
    <w:name w:val="WW8Num7z1"/>
    <w:rPr>
      <w:rFonts w:ascii="Symbol" w:hAnsi="Symbol" w:cs="OpenSymbo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rFonts w:ascii="Symbol" w:hAnsi="Symbol" w:cs="Open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20">
    <w:name w:val="Основной шрифт абзаца2"/>
  </w:style>
  <w:style w:type="character" w:customStyle="1" w:styleId="10">
    <w:name w:val="Основной шрифт абзаца1"/>
  </w:style>
  <w:style w:type="character" w:customStyle="1" w:styleId="FontStyle14">
    <w:name w:val="Font Style14"/>
    <w:rPr>
      <w:rFonts w:ascii="Times New Roman" w:hAnsi="Times New Roman" w:cs="Times New Roman"/>
      <w:spacing w:val="-20"/>
      <w:sz w:val="28"/>
      <w:szCs w:val="28"/>
    </w:rPr>
  </w:style>
  <w:style w:type="character" w:styleId="a5">
    <w:name w:val="Hyperlink"/>
    <w:rPr>
      <w:color w:val="0000FF"/>
      <w:u w:val="single"/>
    </w:rPr>
  </w:style>
  <w:style w:type="character" w:customStyle="1" w:styleId="a6">
    <w:name w:val="Верхний колонтитул Знак"/>
    <w:basedOn w:val="10"/>
  </w:style>
  <w:style w:type="character" w:customStyle="1" w:styleId="a7">
    <w:name w:val="Нижний колонтитул Знак"/>
    <w:basedOn w:val="10"/>
  </w:style>
  <w:style w:type="character" w:customStyle="1" w:styleId="a8">
    <w:name w:val="Текст выноски Знак"/>
    <w:basedOn w:val="10"/>
    <w:rPr>
      <w:rFonts w:ascii="Segoe UI" w:hAnsi="Segoe UI" w:cs="Segoe UI"/>
      <w:sz w:val="18"/>
      <w:szCs w:val="18"/>
    </w:rPr>
  </w:style>
  <w:style w:type="character" w:styleId="a9">
    <w:name w:val="Emphasis"/>
    <w:qFormat/>
    <w:rPr>
      <w:i/>
      <w:iCs/>
    </w:rPr>
  </w:style>
  <w:style w:type="character" w:customStyle="1" w:styleId="aa">
    <w:name w:val="Маркеры списка"/>
    <w:rPr>
      <w:rFonts w:ascii="OpenSymbol" w:eastAsia="OpenSymbol" w:hAnsi="OpenSymbol" w:cs="OpenSymbol"/>
    </w:rPr>
  </w:style>
  <w:style w:type="character" w:styleId="ab">
    <w:name w:val="Strong"/>
    <w:qFormat/>
    <w:rPr>
      <w:b/>
      <w:bCs/>
    </w:rPr>
  </w:style>
  <w:style w:type="character" w:customStyle="1" w:styleId="ac">
    <w:name w:val="Символ нумерации"/>
  </w:style>
  <w:style w:type="paragraph" w:customStyle="1" w:styleId="a0">
    <w:name w:val="Заголовок"/>
    <w:basedOn w:val="a"/>
    <w:next w:val="a1"/>
    <w:pPr>
      <w:keepNext/>
      <w:spacing w:before="240" w:after="120"/>
    </w:pPr>
    <w:rPr>
      <w:rFonts w:ascii="Arial" w:eastAsia="Microsoft YaHei" w:hAnsi="Arial" w:cs="Mangal"/>
      <w:sz w:val="28"/>
      <w:szCs w:val="28"/>
    </w:rPr>
  </w:style>
  <w:style w:type="paragraph" w:styleId="a1">
    <w:name w:val="Body Text"/>
    <w:basedOn w:val="a"/>
    <w:pPr>
      <w:spacing w:after="120"/>
    </w:pPr>
  </w:style>
  <w:style w:type="paragraph" w:styleId="ad">
    <w:name w:val="List"/>
    <w:basedOn w:val="a1"/>
    <w:rPr>
      <w:rFonts w:cs="Mangal"/>
    </w:rPr>
  </w:style>
  <w:style w:type="paragraph" w:customStyle="1" w:styleId="11">
    <w:name w:val="Название1"/>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2">
    <w:name w:val="Обычный1"/>
    <w:pPr>
      <w:widowControl w:val="0"/>
      <w:suppressAutoHyphens/>
      <w:spacing w:after="160" w:line="252" w:lineRule="auto"/>
      <w:textAlignment w:val="baseline"/>
    </w:pPr>
    <w:rPr>
      <w:rFonts w:ascii="Calibri" w:eastAsia="SimSun" w:hAnsi="Calibri" w:cs="Calibri"/>
      <w:kern w:val="1"/>
      <w:sz w:val="22"/>
      <w:szCs w:val="22"/>
      <w:lang w:eastAsia="ar-SA"/>
    </w:rPr>
  </w:style>
  <w:style w:type="paragraph" w:styleId="ae">
    <w:name w:val="Title"/>
    <w:basedOn w:val="a0"/>
    <w:next w:val="af"/>
    <w:qFormat/>
  </w:style>
  <w:style w:type="paragraph" w:styleId="af">
    <w:name w:val="Subtitle"/>
    <w:basedOn w:val="a0"/>
    <w:next w:val="a1"/>
    <w:qFormat/>
    <w:pPr>
      <w:jc w:val="center"/>
    </w:pPr>
    <w:rPr>
      <w:i/>
      <w:iCs/>
    </w:rPr>
  </w:style>
  <w:style w:type="paragraph" w:customStyle="1" w:styleId="13">
    <w:name w:val="Название объекта1"/>
    <w:basedOn w:val="a"/>
    <w:pPr>
      <w:suppressLineNumbers/>
      <w:spacing w:before="120" w:after="120"/>
    </w:pPr>
    <w:rPr>
      <w:rFonts w:cs="Mangal"/>
      <w:i/>
      <w:iCs/>
    </w:rPr>
  </w:style>
  <w:style w:type="paragraph" w:customStyle="1" w:styleId="14">
    <w:name w:val="Указатель1"/>
    <w:basedOn w:val="a"/>
    <w:pPr>
      <w:suppressLineNumbers/>
    </w:pPr>
    <w:rPr>
      <w:rFonts w:cs="Mangal"/>
    </w:rPr>
  </w:style>
  <w:style w:type="paragraph" w:styleId="af0">
    <w:name w:val="header"/>
    <w:basedOn w:val="12"/>
    <w:pPr>
      <w:tabs>
        <w:tab w:val="center" w:pos="4677"/>
        <w:tab w:val="right" w:pos="9355"/>
      </w:tabs>
      <w:spacing w:after="0" w:line="100" w:lineRule="atLeast"/>
    </w:pPr>
  </w:style>
  <w:style w:type="paragraph" w:styleId="af1">
    <w:name w:val="footer"/>
    <w:basedOn w:val="12"/>
    <w:pPr>
      <w:tabs>
        <w:tab w:val="center" w:pos="4677"/>
        <w:tab w:val="right" w:pos="9355"/>
      </w:tabs>
      <w:spacing w:after="0" w:line="100" w:lineRule="atLeast"/>
    </w:pPr>
  </w:style>
  <w:style w:type="paragraph" w:styleId="af2">
    <w:name w:val="Balloon Text"/>
    <w:basedOn w:val="12"/>
    <w:pPr>
      <w:spacing w:after="0" w:line="100" w:lineRule="atLeast"/>
    </w:pPr>
    <w:rPr>
      <w:rFonts w:ascii="Segoe UI" w:hAnsi="Segoe UI" w:cs="Segoe UI"/>
      <w:sz w:val="18"/>
      <w:szCs w:val="18"/>
    </w:rPr>
  </w:style>
  <w:style w:type="paragraph" w:customStyle="1" w:styleId="af3">
    <w:name w:val="Содержимое врезки"/>
    <w:basedOn w:val="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Акулов Дмитрий А.</dc:creator>
  <cp:lastModifiedBy>Пользователь</cp:lastModifiedBy>
  <cp:revision>2</cp:revision>
  <cp:lastPrinted>2016-02-29T08:02:00Z</cp:lastPrinted>
  <dcterms:created xsi:type="dcterms:W3CDTF">2021-02-05T10:11:00Z</dcterms:created>
  <dcterms:modified xsi:type="dcterms:W3CDTF">2021-02-05T10:11:00Z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